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8F771" w14:textId="77777777" w:rsidR="003875C2" w:rsidRPr="003875C2" w:rsidRDefault="003875C2" w:rsidP="003875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3875C2">
        <w:rPr>
          <w:rFonts w:ascii="Times New Roman" w:eastAsia="Times New Roman" w:hAnsi="Times New Roman" w:cs="Times New Roman"/>
          <w:b/>
          <w:bCs/>
          <w:sz w:val="24"/>
          <w:szCs w:val="24"/>
          <w:lang w:eastAsia="es-UY"/>
        </w:rPr>
        <w:t>SCJ Acordada 7869- Se modifica el Reglamento de Registro de Síndicos e Interventores Concursales</w:t>
      </w:r>
    </w:p>
    <w:p w14:paraId="78B8F772" w14:textId="77777777" w:rsidR="003875C2" w:rsidRPr="003875C2" w:rsidRDefault="00BA7CC0" w:rsidP="003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UY"/>
        </w:rPr>
        <w:pict w14:anchorId="78B8F77B">
          <v:rect id="_x0000_i1025" style="width:0;height:1.5pt" o:hralign="center" o:hrstd="t" o:hr="t" fillcolor="#a0a0a0" stroked="f"/>
        </w:pict>
      </w: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4"/>
      </w:tblGrid>
      <w:tr w:rsidR="003875C2" w:rsidRPr="003875C2" w14:paraId="78B8F774" w14:textId="77777777" w:rsidTr="003875C2">
        <w:trPr>
          <w:tblCellSpacing w:w="0" w:type="dxa"/>
          <w:jc w:val="center"/>
        </w:trPr>
        <w:tc>
          <w:tcPr>
            <w:tcW w:w="4900" w:type="pct"/>
            <w:vAlign w:val="center"/>
            <w:hideMark/>
          </w:tcPr>
          <w:p w14:paraId="78B8F773" w14:textId="77777777" w:rsidR="003875C2" w:rsidRPr="003875C2" w:rsidRDefault="003875C2" w:rsidP="00387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3875C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UY"/>
              </w:rPr>
              <w:t>Publicidad</w:t>
            </w:r>
          </w:p>
        </w:tc>
      </w:tr>
      <w:tr w:rsidR="003875C2" w:rsidRPr="003875C2" w14:paraId="78B8F776" w14:textId="77777777" w:rsidTr="003875C2">
        <w:trPr>
          <w:trHeight w:val="675"/>
          <w:tblCellSpacing w:w="0" w:type="dxa"/>
          <w:jc w:val="center"/>
        </w:trPr>
        <w:tc>
          <w:tcPr>
            <w:tcW w:w="4900" w:type="pct"/>
            <w:vAlign w:val="center"/>
            <w:hideMark/>
          </w:tcPr>
          <w:p w14:paraId="78B8F775" w14:textId="77777777" w:rsidR="003875C2" w:rsidRPr="003875C2" w:rsidRDefault="003875C2" w:rsidP="0038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</w:tbl>
    <w:p w14:paraId="78B8F777" w14:textId="2A089C77" w:rsidR="003875C2" w:rsidRPr="003875C2" w:rsidRDefault="003875C2" w:rsidP="003875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3875C2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SUPREMA CORTE DE JUSTICIA </w:t>
      </w:r>
      <w:r w:rsidRPr="003875C2">
        <w:rPr>
          <w:rFonts w:ascii="Times New Roman" w:eastAsia="Times New Roman" w:hAnsi="Times New Roman" w:cs="Times New Roman"/>
          <w:sz w:val="24"/>
          <w:szCs w:val="24"/>
          <w:lang w:eastAsia="es-UY"/>
        </w:rPr>
        <w:br/>
      </w:r>
      <w:r w:rsidRPr="003875C2">
        <w:rPr>
          <w:rFonts w:ascii="Times New Roman" w:eastAsia="Times New Roman" w:hAnsi="Times New Roman" w:cs="Times New Roman"/>
          <w:sz w:val="24"/>
          <w:szCs w:val="24"/>
          <w:lang w:eastAsia="es-UY"/>
        </w:rPr>
        <w:br/>
        <w:t>Acordada N° 7869</w:t>
      </w:r>
      <w:r w:rsidRPr="003875C2">
        <w:rPr>
          <w:rFonts w:ascii="Times New Roman" w:eastAsia="Times New Roman" w:hAnsi="Times New Roman" w:cs="Times New Roman"/>
          <w:sz w:val="24"/>
          <w:szCs w:val="24"/>
          <w:lang w:eastAsia="es-UY"/>
        </w:rPr>
        <w:br/>
      </w:r>
      <w:r w:rsidRPr="003875C2">
        <w:rPr>
          <w:rFonts w:ascii="Times New Roman" w:eastAsia="Times New Roman" w:hAnsi="Times New Roman" w:cs="Times New Roman"/>
          <w:sz w:val="24"/>
          <w:szCs w:val="24"/>
          <w:lang w:eastAsia="es-UY"/>
        </w:rPr>
        <w:br/>
        <w:t xml:space="preserve">En Montevideo, a los veinte días del mes de abril de dos mil </w:t>
      </w:r>
      <w:r w:rsidR="00BA7CC0" w:rsidRPr="003875C2">
        <w:rPr>
          <w:rFonts w:ascii="Times New Roman" w:eastAsia="Times New Roman" w:hAnsi="Times New Roman" w:cs="Times New Roman"/>
          <w:sz w:val="24"/>
          <w:szCs w:val="24"/>
          <w:lang w:eastAsia="es-UY"/>
        </w:rPr>
        <w:t>dieciséis</w:t>
      </w:r>
      <w:r w:rsidRPr="003875C2">
        <w:rPr>
          <w:rFonts w:ascii="Times New Roman" w:eastAsia="Times New Roman" w:hAnsi="Times New Roman" w:cs="Times New Roman"/>
          <w:sz w:val="24"/>
          <w:szCs w:val="24"/>
          <w:lang w:eastAsia="es-UY"/>
        </w:rPr>
        <w:t>, estando en audiencia la Suprema Corte de Justicia, integrada por los señores Ministros doctores Ricardo C. Pérez Manrique -Presidente-, Jorge T. Larrieux, Jorge O. Chediak y Felipe Hounie Sánchez, con la asistencia de su Secretario Letrado doctor Fernando Tovagliare Romero;</w:t>
      </w:r>
      <w:r w:rsidRPr="003875C2">
        <w:rPr>
          <w:rFonts w:ascii="Times New Roman" w:eastAsia="Times New Roman" w:hAnsi="Times New Roman" w:cs="Times New Roman"/>
          <w:sz w:val="24"/>
          <w:szCs w:val="24"/>
          <w:lang w:eastAsia="es-UY"/>
        </w:rPr>
        <w:br/>
      </w:r>
      <w:r w:rsidRPr="003875C2">
        <w:rPr>
          <w:rFonts w:ascii="Times New Roman" w:eastAsia="Times New Roman" w:hAnsi="Times New Roman" w:cs="Times New Roman"/>
          <w:sz w:val="24"/>
          <w:szCs w:val="24"/>
          <w:lang w:eastAsia="es-UY"/>
        </w:rPr>
        <w:br/>
      </w:r>
      <w:r w:rsidRPr="003875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UY"/>
        </w:rPr>
        <w:t>DIJO</w:t>
      </w:r>
      <w:r w:rsidRPr="003875C2">
        <w:rPr>
          <w:rFonts w:ascii="Times New Roman" w:eastAsia="Times New Roman" w:hAnsi="Times New Roman" w:cs="Times New Roman"/>
          <w:sz w:val="24"/>
          <w:szCs w:val="24"/>
          <w:lang w:eastAsia="es-UY"/>
        </w:rPr>
        <w:br/>
      </w:r>
      <w:r w:rsidRPr="003875C2">
        <w:rPr>
          <w:rFonts w:ascii="Times New Roman" w:eastAsia="Times New Roman" w:hAnsi="Times New Roman" w:cs="Times New Roman"/>
          <w:sz w:val="24"/>
          <w:szCs w:val="24"/>
          <w:lang w:eastAsia="es-UY"/>
        </w:rPr>
        <w:br/>
        <w:t xml:space="preserve">I) que por </w:t>
      </w:r>
      <w:hyperlink r:id="rId4" w:tgtFrame="_blank" w:history="1">
        <w:r w:rsidRPr="003875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UY"/>
          </w:rPr>
          <w:t>Acordada no 7682</w:t>
        </w:r>
      </w:hyperlink>
      <w:r w:rsidRPr="003875C2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 de fecha 23 de abril de 2010 se aprobó el Reglamento referente al </w:t>
      </w:r>
      <w:r w:rsidRPr="003875C2">
        <w:rPr>
          <w:rFonts w:ascii="Times New Roman" w:eastAsia="Times New Roman" w:hAnsi="Times New Roman" w:cs="Times New Roman"/>
          <w:b/>
          <w:bCs/>
          <w:sz w:val="24"/>
          <w:szCs w:val="24"/>
          <w:lang w:eastAsia="es-UY"/>
        </w:rPr>
        <w:t>Registro de Síndicos e Interventores Concursales</w:t>
      </w:r>
      <w:r w:rsidRPr="003875C2">
        <w:rPr>
          <w:rFonts w:ascii="Times New Roman" w:eastAsia="Times New Roman" w:hAnsi="Times New Roman" w:cs="Times New Roman"/>
          <w:sz w:val="24"/>
          <w:szCs w:val="24"/>
          <w:lang w:eastAsia="es-UY"/>
        </w:rPr>
        <w:t>;</w:t>
      </w:r>
      <w:r w:rsidRPr="003875C2">
        <w:rPr>
          <w:rFonts w:ascii="Times New Roman" w:eastAsia="Times New Roman" w:hAnsi="Times New Roman" w:cs="Times New Roman"/>
          <w:sz w:val="24"/>
          <w:szCs w:val="24"/>
          <w:lang w:eastAsia="es-UY"/>
        </w:rPr>
        <w:br/>
      </w:r>
      <w:r w:rsidRPr="003875C2">
        <w:rPr>
          <w:rFonts w:ascii="Times New Roman" w:eastAsia="Times New Roman" w:hAnsi="Times New Roman" w:cs="Times New Roman"/>
          <w:sz w:val="24"/>
          <w:szCs w:val="24"/>
          <w:lang w:eastAsia="es-UY"/>
        </w:rPr>
        <w:br/>
        <w:t>II) que se da cuenta que en el próximo mes de mayo vence el plazo del Registro vigente, por lo cual corresponde realizar un nuevo proceso de selección de postulantes;</w:t>
      </w:r>
      <w:r w:rsidRPr="003875C2">
        <w:rPr>
          <w:rFonts w:ascii="Times New Roman" w:eastAsia="Times New Roman" w:hAnsi="Times New Roman" w:cs="Times New Roman"/>
          <w:sz w:val="24"/>
          <w:szCs w:val="24"/>
          <w:lang w:eastAsia="es-UY"/>
        </w:rPr>
        <w:br/>
      </w:r>
      <w:r w:rsidRPr="003875C2">
        <w:rPr>
          <w:rFonts w:ascii="Times New Roman" w:eastAsia="Times New Roman" w:hAnsi="Times New Roman" w:cs="Times New Roman"/>
          <w:sz w:val="24"/>
          <w:szCs w:val="24"/>
          <w:lang w:eastAsia="es-UY"/>
        </w:rPr>
        <w:br/>
        <w:t>III) que oportunamente la Corporación, ante el pedido realizado, dispuso la participación del Colegio de Síndicos e Interventores Judiciales en la Comisión Evaluadora;</w:t>
      </w:r>
      <w:r w:rsidRPr="003875C2">
        <w:rPr>
          <w:rFonts w:ascii="Times New Roman" w:eastAsia="Times New Roman" w:hAnsi="Times New Roman" w:cs="Times New Roman"/>
          <w:sz w:val="24"/>
          <w:szCs w:val="24"/>
          <w:lang w:eastAsia="es-UY"/>
        </w:rPr>
        <w:br/>
      </w:r>
      <w:r w:rsidRPr="003875C2">
        <w:rPr>
          <w:rFonts w:ascii="Times New Roman" w:eastAsia="Times New Roman" w:hAnsi="Times New Roman" w:cs="Times New Roman"/>
          <w:sz w:val="24"/>
          <w:szCs w:val="24"/>
          <w:lang w:eastAsia="es-UY"/>
        </w:rPr>
        <w:br/>
        <w:t>IV) que en consecuencia se dispondrá la integración del referido Colegio en la Comisión, modificando en lo pertinente el artículo 6 de la Acordada reglamentaria;</w:t>
      </w:r>
      <w:r w:rsidRPr="003875C2">
        <w:rPr>
          <w:rFonts w:ascii="Times New Roman" w:eastAsia="Times New Roman" w:hAnsi="Times New Roman" w:cs="Times New Roman"/>
          <w:sz w:val="24"/>
          <w:szCs w:val="24"/>
          <w:lang w:eastAsia="es-UY"/>
        </w:rPr>
        <w:br/>
      </w:r>
      <w:r w:rsidRPr="003875C2">
        <w:rPr>
          <w:rFonts w:ascii="Times New Roman" w:eastAsia="Times New Roman" w:hAnsi="Times New Roman" w:cs="Times New Roman"/>
          <w:sz w:val="24"/>
          <w:szCs w:val="24"/>
          <w:lang w:eastAsia="es-UY"/>
        </w:rPr>
        <w:br/>
        <w:t>ATENTO: a lo expuesto;</w:t>
      </w:r>
      <w:r w:rsidRPr="003875C2">
        <w:rPr>
          <w:rFonts w:ascii="Times New Roman" w:eastAsia="Times New Roman" w:hAnsi="Times New Roman" w:cs="Times New Roman"/>
          <w:sz w:val="24"/>
          <w:szCs w:val="24"/>
          <w:lang w:eastAsia="es-UY"/>
        </w:rPr>
        <w:br/>
      </w:r>
      <w:r w:rsidRPr="003875C2">
        <w:rPr>
          <w:rFonts w:ascii="Times New Roman" w:eastAsia="Times New Roman" w:hAnsi="Times New Roman" w:cs="Times New Roman"/>
          <w:sz w:val="24"/>
          <w:szCs w:val="24"/>
          <w:lang w:eastAsia="es-UY"/>
        </w:rPr>
        <w:br/>
        <w:t>LA SUPREMA CORTE DE JUSTICIA</w:t>
      </w:r>
      <w:r w:rsidRPr="003875C2">
        <w:rPr>
          <w:rFonts w:ascii="Times New Roman" w:eastAsia="Times New Roman" w:hAnsi="Times New Roman" w:cs="Times New Roman"/>
          <w:sz w:val="24"/>
          <w:szCs w:val="24"/>
          <w:lang w:eastAsia="es-UY"/>
        </w:rPr>
        <w:br/>
        <w:t>RESUELVE</w:t>
      </w:r>
      <w:r w:rsidRPr="003875C2">
        <w:rPr>
          <w:rFonts w:ascii="Times New Roman" w:eastAsia="Times New Roman" w:hAnsi="Times New Roman" w:cs="Times New Roman"/>
          <w:sz w:val="24"/>
          <w:szCs w:val="24"/>
          <w:lang w:eastAsia="es-UY"/>
        </w:rPr>
        <w:br/>
      </w:r>
      <w:r w:rsidRPr="003875C2">
        <w:rPr>
          <w:rFonts w:ascii="Times New Roman" w:eastAsia="Times New Roman" w:hAnsi="Times New Roman" w:cs="Times New Roman"/>
          <w:sz w:val="24"/>
          <w:szCs w:val="24"/>
          <w:lang w:eastAsia="es-UY"/>
        </w:rPr>
        <w:br/>
      </w:r>
      <w:r w:rsidRPr="003875C2">
        <w:rPr>
          <w:rFonts w:ascii="Times New Roman" w:eastAsia="Times New Roman" w:hAnsi="Times New Roman" w:cs="Times New Roman"/>
          <w:b/>
          <w:bCs/>
          <w:sz w:val="24"/>
          <w:szCs w:val="24"/>
          <w:lang w:eastAsia="es-UY"/>
        </w:rPr>
        <w:t>1°.-</w:t>
      </w:r>
      <w:r w:rsidRPr="003875C2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 Modificar el artículo 6 de la </w:t>
      </w:r>
      <w:hyperlink r:id="rId5" w:tgtFrame="_blank" w:history="1">
        <w:r w:rsidRPr="003875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UY"/>
          </w:rPr>
          <w:t>Acordada no 7682</w:t>
        </w:r>
      </w:hyperlink>
      <w:r w:rsidRPr="003875C2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 de fecha 23 de abril de 2010 el que quedará redactado de la siguiente manera:</w:t>
      </w:r>
    </w:p>
    <w:p w14:paraId="78B8F778" w14:textId="77777777" w:rsidR="003875C2" w:rsidRPr="003875C2" w:rsidRDefault="003875C2" w:rsidP="003875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3875C2">
        <w:rPr>
          <w:rFonts w:ascii="Times New Roman" w:eastAsia="Times New Roman" w:hAnsi="Times New Roman" w:cs="Times New Roman"/>
          <w:i/>
          <w:iCs/>
          <w:sz w:val="24"/>
          <w:szCs w:val="24"/>
          <w:lang w:eastAsia="es-UY"/>
        </w:rPr>
        <w:t>ARTICULO 6.- la Comisión, integrada por un representante del Colegio de Abogados del Uruguay, otro del Colegio de Contadores, Economistas y Administradores del Uruguay, otro del Colegio de Síndicos e Interventores Judiciales y otro designado por la Suprema Corte de Justicia, tendrá a su cargo la confección de la lista de titulares y suplentes, según los factores de evaluación que se adjuntan como ANEXO III.</w:t>
      </w:r>
      <w:r w:rsidRPr="003875C2">
        <w:rPr>
          <w:rFonts w:ascii="Times New Roman" w:eastAsia="Times New Roman" w:hAnsi="Times New Roman" w:cs="Times New Roman"/>
          <w:i/>
          <w:iCs/>
          <w:sz w:val="24"/>
          <w:szCs w:val="24"/>
          <w:lang w:eastAsia="es-UY"/>
        </w:rPr>
        <w:br/>
      </w:r>
      <w:r w:rsidRPr="003875C2">
        <w:rPr>
          <w:rFonts w:ascii="Times New Roman" w:eastAsia="Times New Roman" w:hAnsi="Times New Roman" w:cs="Times New Roman"/>
          <w:i/>
          <w:iCs/>
          <w:sz w:val="24"/>
          <w:szCs w:val="24"/>
          <w:lang w:eastAsia="es-UY"/>
        </w:rPr>
        <w:br/>
        <w:t xml:space="preserve">Al vencimiento del plazo de vigencia del Registro, la Comisión que se designe a tales efectos confeccionará una nueva lista de titulares y suplentes, para lo cual tendrá en consideración los dictámenes de la Unidad de Evaluación de Síndicos creada por el </w:t>
      </w:r>
      <w:r w:rsidRPr="003875C2">
        <w:rPr>
          <w:rFonts w:ascii="Times New Roman" w:eastAsia="Times New Roman" w:hAnsi="Times New Roman" w:cs="Times New Roman"/>
          <w:i/>
          <w:iCs/>
          <w:sz w:val="24"/>
          <w:szCs w:val="24"/>
          <w:lang w:eastAsia="es-UY"/>
        </w:rPr>
        <w:lastRenderedPageBreak/>
        <w:t xml:space="preserve">artículo 260 de la </w:t>
      </w:r>
      <w:hyperlink r:id="rId6" w:tgtFrame="_blank" w:history="1">
        <w:r w:rsidRPr="003875C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es-UY"/>
          </w:rPr>
          <w:t>Ley no 18.387</w:t>
        </w:r>
      </w:hyperlink>
      <w:r w:rsidRPr="003875C2">
        <w:rPr>
          <w:rFonts w:ascii="Times New Roman" w:eastAsia="Times New Roman" w:hAnsi="Times New Roman" w:cs="Times New Roman"/>
          <w:i/>
          <w:iCs/>
          <w:sz w:val="24"/>
          <w:szCs w:val="24"/>
          <w:lang w:eastAsia="es-UY"/>
        </w:rPr>
        <w:t>. En caso de no cumplir con est</w:t>
      </w:r>
      <w:bookmarkStart w:id="0" w:name="_GoBack"/>
      <w:bookmarkEnd w:id="0"/>
      <w:r w:rsidRPr="003875C2">
        <w:rPr>
          <w:rFonts w:ascii="Times New Roman" w:eastAsia="Times New Roman" w:hAnsi="Times New Roman" w:cs="Times New Roman"/>
          <w:i/>
          <w:iCs/>
          <w:sz w:val="24"/>
          <w:szCs w:val="24"/>
          <w:lang w:eastAsia="es-UY"/>
        </w:rPr>
        <w:t xml:space="preserve">a obligación, la Comisión será sustituida por otra, en un plazo no mayor de 15 días; y en caso de que ello no suceda, la Suprema Corte de Justicia procederá a su designación de oficio en plazo no mayor de 10 </w:t>
      </w:r>
      <w:proofErr w:type="gramStart"/>
      <w:r w:rsidRPr="003875C2">
        <w:rPr>
          <w:rFonts w:ascii="Times New Roman" w:eastAsia="Times New Roman" w:hAnsi="Times New Roman" w:cs="Times New Roman"/>
          <w:i/>
          <w:iCs/>
          <w:sz w:val="24"/>
          <w:szCs w:val="24"/>
          <w:lang w:eastAsia="es-UY"/>
        </w:rPr>
        <w:t>días.-</w:t>
      </w:r>
      <w:proofErr w:type="gramEnd"/>
      <w:r w:rsidRPr="003875C2">
        <w:rPr>
          <w:rFonts w:ascii="Times New Roman" w:eastAsia="Times New Roman" w:hAnsi="Times New Roman" w:cs="Times New Roman"/>
          <w:i/>
          <w:iCs/>
          <w:sz w:val="24"/>
          <w:szCs w:val="24"/>
          <w:lang w:eastAsia="es-UY"/>
        </w:rPr>
        <w:t>"</w:t>
      </w:r>
    </w:p>
    <w:p w14:paraId="78B8F779" w14:textId="77777777" w:rsidR="003875C2" w:rsidRPr="003875C2" w:rsidRDefault="003875C2" w:rsidP="00387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3875C2">
        <w:rPr>
          <w:rFonts w:ascii="Times New Roman" w:eastAsia="Times New Roman" w:hAnsi="Times New Roman" w:cs="Times New Roman"/>
          <w:b/>
          <w:bCs/>
          <w:sz w:val="24"/>
          <w:szCs w:val="24"/>
          <w:lang w:eastAsia="es-UY"/>
        </w:rPr>
        <w:t>2</w:t>
      </w:r>
      <w:proofErr w:type="gramStart"/>
      <w:r w:rsidRPr="003875C2">
        <w:rPr>
          <w:rFonts w:ascii="Times New Roman" w:eastAsia="Times New Roman" w:hAnsi="Times New Roman" w:cs="Times New Roman"/>
          <w:b/>
          <w:bCs/>
          <w:sz w:val="24"/>
          <w:szCs w:val="24"/>
          <w:lang w:eastAsia="es-UY"/>
        </w:rPr>
        <w:t>°.-</w:t>
      </w:r>
      <w:proofErr w:type="gramEnd"/>
      <w:r w:rsidRPr="003875C2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 Comuníquese.-</w:t>
      </w:r>
    </w:p>
    <w:p w14:paraId="78B8F77A" w14:textId="77777777" w:rsidR="006605B2" w:rsidRDefault="006605B2"/>
    <w:sectPr w:rsidR="006605B2" w:rsidSect="006605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5C2"/>
    <w:rsid w:val="00077377"/>
    <w:rsid w:val="003875C2"/>
    <w:rsid w:val="006605B2"/>
    <w:rsid w:val="00BA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F771"/>
  <w15:docId w15:val="{9E7EC1C2-CE1D-4866-90D4-91906A94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5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7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customStyle="1" w:styleId="apple-converted-space">
    <w:name w:val="apple-converted-space"/>
    <w:basedOn w:val="Fuentedeprrafopredeter"/>
    <w:rsid w:val="003875C2"/>
  </w:style>
  <w:style w:type="character" w:styleId="Hipervnculo">
    <w:name w:val="Hyperlink"/>
    <w:basedOn w:val="Fuentedeprrafopredeter"/>
    <w:uiPriority w:val="99"/>
    <w:semiHidden/>
    <w:unhideWhenUsed/>
    <w:rsid w:val="003875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8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10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or.net.uy/docu.php?t=ley&amp;n=18387" TargetMode="External"/><Relationship Id="rId5" Type="http://schemas.openxmlformats.org/officeDocument/2006/relationships/hyperlink" Target="http://www.consultor.net.uy/ver.php?u=melaborde@prfabogados.com&amp;r=2016042876&amp;noti=2010042927" TargetMode="External"/><Relationship Id="rId4" Type="http://schemas.openxmlformats.org/officeDocument/2006/relationships/hyperlink" Target="http://www.consultor.net.uy/ver.php?u=melaborde@prfabogados.com&amp;r=2016042876&amp;noti=201004292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Carlos López Rodríguez</cp:lastModifiedBy>
  <cp:revision>3</cp:revision>
  <dcterms:created xsi:type="dcterms:W3CDTF">2016-04-28T22:14:00Z</dcterms:created>
  <dcterms:modified xsi:type="dcterms:W3CDTF">2019-04-17T00:09:00Z</dcterms:modified>
</cp:coreProperties>
</file>